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p09azrqk5v2" w:id="0"/>
      <w:bookmarkEnd w:id="0"/>
      <w:r w:rsidDel="00000000" w:rsidR="00000000" w:rsidRPr="00000000">
        <w:rPr>
          <w:b w:val="1"/>
          <w:bCs w:val="1"/>
          <w:sz w:val="46"/>
          <w:szCs w:val="46"/>
          <w:rtl w:val="0"/>
        </w:rPr>
        <w:t xml:space="preserve">Educational Philosophy Including Andragogy</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ovoptijg3odg" w:id="1"/>
      <w:bookmarkEnd w:id="1"/>
      <w:r w:rsidDel="00000000" w:rsidR="00000000" w:rsidRPr="00000000">
        <w:rPr>
          <w:b w:val="1"/>
          <w:bCs w:val="1"/>
          <w:color w:val="000000"/>
          <w:sz w:val="26"/>
          <w:szCs w:val="26"/>
          <w:rtl w:val="0"/>
        </w:rPr>
        <w:t xml:space="preserve">Educational Philosophy</w:t>
      </w:r>
    </w:p>
    <w:p w:rsidR="00000000" w:rsidDel="00000000" w:rsidP="00000000" w:rsidRDefault="00000000" w:rsidRPr="00000000" w14:paraId="00000003">
      <w:pPr>
        <w:spacing w:after="240" w:before="240" w:lineRule="auto"/>
        <w:rPr/>
      </w:pPr>
      <w:r w:rsidDel="00000000" w:rsidR="00000000" w:rsidRPr="00000000">
        <w:rPr>
          <w:rtl w:val="0"/>
        </w:rPr>
        <w:t xml:space="preserve">Our educational mission is rooted in the conviction that Christian higher education must cultivate the whole person — spiritually, intellectually, and vocationally. Learning is not the passive transfer of information but a transformative process that integrates Scripture, critical inquiry, and lived practice. We view education as spiritual formation in which academic rigor and devotion to Christ are inseparably linked.</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i0shzpyhquy6" w:id="2"/>
      <w:bookmarkEnd w:id="2"/>
      <w:r w:rsidDel="00000000" w:rsidR="00000000" w:rsidRPr="00000000">
        <w:rPr>
          <w:b w:val="1"/>
          <w:bCs w:val="1"/>
          <w:color w:val="000000"/>
          <w:sz w:val="26"/>
          <w:szCs w:val="26"/>
          <w:rtl w:val="0"/>
        </w:rPr>
        <w:t xml:space="preserve">Andragogical Commitments</w:t>
      </w:r>
    </w:p>
    <w:p w:rsidR="00000000" w:rsidDel="00000000" w:rsidP="00000000" w:rsidRDefault="00000000" w:rsidRPr="00000000" w14:paraId="00000005">
      <w:pPr>
        <w:spacing w:after="240" w:before="240" w:lineRule="auto"/>
        <w:rPr/>
      </w:pPr>
      <w:r w:rsidDel="00000000" w:rsidR="00000000" w:rsidRPr="00000000">
        <w:rPr>
          <w:rtl w:val="0"/>
        </w:rPr>
        <w:t xml:space="preserve">Guided by adult learning theory, our teaching philosophy affirms that learners thrive when:</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b w:val="1"/>
          <w:bCs w:val="1"/>
          <w:rtl w:val="0"/>
        </w:rPr>
        <w:t xml:space="preserve">Self-directed:</w:t>
      </w:r>
      <w:r w:rsidDel="00000000" w:rsidR="00000000" w:rsidRPr="00000000">
        <w:rPr>
          <w:rtl w:val="0"/>
        </w:rPr>
        <w:t xml:space="preserve"> Students are trusted to take ownership of their studies through independent research, reflective practices, and self-regulated learning rhythms (cf. 2 Tim. 2:15).</w:t>
        <w:br w:type="textWrapping"/>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b w:val="1"/>
          <w:bCs w:val="1"/>
          <w:rtl w:val="0"/>
        </w:rPr>
        <w:t xml:space="preserve">Experience-driven: </w:t>
      </w:r>
      <w:r w:rsidDel="00000000" w:rsidR="00000000" w:rsidRPr="00000000">
        <w:rPr>
          <w:rtl w:val="0"/>
        </w:rPr>
        <w:t xml:space="preserve">Students engage in cycles of study, reflection, theological application, and ministry practice.</w:t>
      </w:r>
      <w:r w:rsidDel="00000000" w:rsidR="00000000" w:rsidRPr="00000000">
        <w:rPr>
          <w:rtl w:val="0"/>
        </w:rPr>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b w:val="1"/>
          <w:bCs w:val="1"/>
          <w:rtl w:val="0"/>
        </w:rPr>
        <w:t xml:space="preserve">Relevance-focused:</w:t>
      </w:r>
      <w:r w:rsidDel="00000000" w:rsidR="00000000" w:rsidRPr="00000000">
        <w:rPr>
          <w:rtl w:val="0"/>
        </w:rPr>
        <w:t xml:space="preserve"> Assignments emphasise reflective practice, enabling students to integrate learning with their personal theological convictions and ministry application.</w:t>
      </w:r>
      <w:r w:rsidDel="00000000" w:rsidR="00000000" w:rsidRPr="00000000">
        <w:rPr>
          <w:rtl w:val="0"/>
        </w:rPr>
        <w:br w:type="textWrapping"/>
      </w:r>
    </w:p>
    <w:p w:rsidR="00000000" w:rsidDel="00000000" w:rsidP="00000000" w:rsidRDefault="00000000" w:rsidRPr="00000000" w14:paraId="00000009">
      <w:pPr>
        <w:numPr>
          <w:ilvl w:val="0"/>
          <w:numId w:val="3"/>
        </w:numPr>
        <w:spacing w:after="240" w:before="0" w:beforeAutospacing="0" w:lineRule="auto"/>
        <w:ind w:left="720" w:hanging="360"/>
      </w:pPr>
      <w:r w:rsidDel="00000000" w:rsidR="00000000" w:rsidRPr="00000000">
        <w:rPr>
          <w:b w:val="1"/>
          <w:bCs w:val="1"/>
          <w:rtl w:val="0"/>
        </w:rPr>
        <w:t xml:space="preserve">Problem-centered:</w:t>
      </w:r>
      <w:r w:rsidDel="00000000" w:rsidR="00000000" w:rsidRPr="00000000">
        <w:rPr>
          <w:rtl w:val="0"/>
        </w:rPr>
        <w:t xml:space="preserve"> Education addresses concrete challenges facing the church and society, preparing students to think biblically and respond with discernment (Acts 17:11).</w:t>
        <w:br w:type="textWrapping"/>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60ynb5ar0xmp" w:id="3"/>
      <w:bookmarkEnd w:id="3"/>
      <w:r w:rsidDel="00000000" w:rsidR="00000000" w:rsidRPr="00000000">
        <w:rPr>
          <w:b w:val="1"/>
          <w:bCs w:val="1"/>
          <w:color w:val="000000"/>
          <w:sz w:val="26"/>
          <w:szCs w:val="26"/>
          <w:rtl w:val="0"/>
        </w:rPr>
        <w:t xml:space="preserve">Integration with Student Spiritual Formation</w:t>
      </w:r>
    </w:p>
    <w:p w:rsidR="00000000" w:rsidDel="00000000" w:rsidP="00000000" w:rsidRDefault="00000000" w:rsidRPr="00000000" w14:paraId="0000000B">
      <w:pPr>
        <w:spacing w:after="240" w:before="240" w:lineRule="auto"/>
        <w:rPr/>
      </w:pPr>
      <w:r w:rsidDel="00000000" w:rsidR="00000000" w:rsidRPr="00000000">
        <w:rPr>
          <w:rtl w:val="0"/>
        </w:rPr>
        <w:t xml:space="preserve">Our andragogical framework complements the six dimensions of student formation:</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bCs w:val="1"/>
          <w:rtl w:val="0"/>
        </w:rPr>
        <w:t xml:space="preserve">Spiritual Rootedness</w:t>
      </w:r>
      <w:r w:rsidDel="00000000" w:rsidR="00000000" w:rsidRPr="00000000">
        <w:rPr>
          <w:rtl w:val="0"/>
        </w:rPr>
        <w:t xml:space="preserve"> – cultivated through Scripture meditation and integration of study with devotion (Psalm 1:2–3).</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bCs w:val="1"/>
          <w:rtl w:val="0"/>
        </w:rPr>
        <w:t xml:space="preserve">Critical Thinking / Discernment</w:t>
      </w:r>
      <w:r w:rsidDel="00000000" w:rsidR="00000000" w:rsidRPr="00000000">
        <w:rPr>
          <w:rtl w:val="0"/>
        </w:rPr>
        <w:t xml:space="preserve"> – sharpened by exposure to diverse worldviews and rigorous theological reflection.</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Independent Learning / Scholarship</w:t>
      </w:r>
      <w:r w:rsidDel="00000000" w:rsidR="00000000" w:rsidRPr="00000000">
        <w:rPr>
          <w:rtl w:val="0"/>
        </w:rPr>
        <w:t xml:space="preserve"> – strengthened through modular study structures and research projects.</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bCs w:val="1"/>
          <w:rtl w:val="0"/>
        </w:rPr>
        <w:t xml:space="preserve">Discipline / Work Ethic</w:t>
      </w:r>
      <w:r w:rsidDel="00000000" w:rsidR="00000000" w:rsidRPr="00000000">
        <w:rPr>
          <w:rtl w:val="0"/>
        </w:rPr>
        <w:t xml:space="preserve"> – developed through structured academic routines and time management.</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bCs w:val="1"/>
          <w:rtl w:val="0"/>
        </w:rPr>
        <w:t xml:space="preserve">Resilience / Perseverance</w:t>
      </w:r>
      <w:r w:rsidDel="00000000" w:rsidR="00000000" w:rsidRPr="00000000">
        <w:rPr>
          <w:rtl w:val="0"/>
        </w:rPr>
        <w:t xml:space="preserve"> – formed by enduring academic rigor and responding constructively to feedback.</w:t>
        <w:br w:type="textWrapping"/>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b w:val="1"/>
          <w:bCs w:val="1"/>
          <w:rtl w:val="0"/>
        </w:rPr>
        <w:t xml:space="preserve">Integrity</w:t>
      </w:r>
      <w:r w:rsidDel="00000000" w:rsidR="00000000" w:rsidRPr="00000000">
        <w:rPr>
          <w:rtl w:val="0"/>
        </w:rPr>
        <w:t xml:space="preserve"> – reinforced by academic honesty and transparent scholarship.</w:t>
        <w:br w:type="textWrapping"/>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t83ootr8z5vf" w:id="4"/>
      <w:bookmarkEnd w:id="4"/>
      <w:r w:rsidDel="00000000" w:rsidR="00000000" w:rsidRPr="00000000">
        <w:rPr>
          <w:b w:val="1"/>
          <w:bCs w:val="1"/>
          <w:color w:val="000000"/>
          <w:sz w:val="26"/>
          <w:szCs w:val="26"/>
          <w:rtl w:val="0"/>
        </w:rPr>
        <w:t xml:space="preserve">Pedagogical Practices</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rtl w:val="0"/>
        </w:rPr>
        <w:t xml:space="preserve">Incorporation of spiritual practices (e.g., Scripture meditation, prayer) alongside academic study.</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Case studies, simulations, and ministry-based assignments that bridge theory and practice.</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Scaffolded assessments moving from guided learning toward independent scholarship.</w:t>
        <w:br w:type="textWrapping"/>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Mentorship and formative feedback as integral to character and intellectual development.</w:t>
        <w:br w:type="textWrapping"/>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lg9oyfs5nzn5" w:id="5"/>
      <w:bookmarkEnd w:id="5"/>
      <w:r w:rsidDel="00000000" w:rsidR="00000000" w:rsidRPr="00000000">
        <w:rPr>
          <w:b w:val="1"/>
          <w:bCs w:val="1"/>
          <w:color w:val="000000"/>
          <w:sz w:val="26"/>
          <w:szCs w:val="26"/>
          <w:rtl w:val="0"/>
        </w:rPr>
        <w:t xml:space="preserve">Conclusion</w:t>
      </w:r>
    </w:p>
    <w:p w:rsidR="00000000" w:rsidDel="00000000" w:rsidP="00000000" w:rsidRDefault="00000000" w:rsidRPr="00000000" w14:paraId="00000018">
      <w:pPr>
        <w:spacing w:after="240" w:before="240" w:lineRule="auto"/>
        <w:rPr/>
      </w:pPr>
      <w:r w:rsidDel="00000000" w:rsidR="00000000" w:rsidRPr="00000000">
        <w:rPr>
          <w:rtl w:val="0"/>
        </w:rPr>
        <w:t xml:space="preserve">This articulated philosophy ensures that theological education is not merely the acquisition of knowledge but the cultivation of Christlike leaders who embody resilience, integrity, and wisdom. By uniting andragogical principles with spiritual formation values, we foster graduates prepared to serve church and society with both competence and conviction.</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